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39EB" w14:textId="005EC0DD" w:rsidR="00E2556C" w:rsidRDefault="0041652B">
      <w:r>
        <w:t xml:space="preserve">Austatud minister </w:t>
      </w:r>
      <w:proofErr w:type="spellStart"/>
      <w:r>
        <w:t>Purga</w:t>
      </w:r>
      <w:proofErr w:type="spellEnd"/>
    </w:p>
    <w:p w14:paraId="43B511A3" w14:textId="77777777" w:rsidR="0041652B" w:rsidRDefault="0041652B"/>
    <w:p w14:paraId="06370AA0" w14:textId="414D38F2" w:rsidR="0041652B" w:rsidRDefault="0041652B" w:rsidP="0041652B">
      <w:pPr>
        <w:jc w:val="both"/>
        <w:rPr>
          <w:kern w:val="0"/>
          <w14:ligatures w14:val="none"/>
        </w:rPr>
      </w:pPr>
      <w:r w:rsidRPr="0041652B">
        <w:rPr>
          <w:rFonts w:cstheme="minorHAnsi"/>
        </w:rPr>
        <w:t>Rahandusministeerium kooskõlastab</w:t>
      </w:r>
      <w:r w:rsidRPr="0041652B">
        <w:rPr>
          <w:rFonts w:cstheme="minorHAnsi"/>
        </w:rPr>
        <w:t xml:space="preserve"> </w:t>
      </w:r>
      <w:r w:rsidRPr="0041652B">
        <w:rPr>
          <w:kern w:val="0"/>
          <w14:ligatures w14:val="none"/>
        </w:rPr>
        <w:t>kultuuriministri käskkirja "Lõimumist edendavate kogukondlike tegevuste toetamine" eelnõu ja kaasnevad dokumendid märkustega arvestamisel.</w:t>
      </w:r>
    </w:p>
    <w:p w14:paraId="56FA8DC5" w14:textId="0D36A2D3" w:rsidR="0041652B" w:rsidRPr="0041652B" w:rsidRDefault="0041652B">
      <w:pPr>
        <w:rPr>
          <w:b/>
          <w:bCs/>
          <w:kern w:val="0"/>
          <w14:ligatures w14:val="none"/>
        </w:rPr>
      </w:pPr>
      <w:r w:rsidRPr="0041652B">
        <w:rPr>
          <w:b/>
          <w:bCs/>
          <w:kern w:val="0"/>
          <w14:ligatures w14:val="none"/>
        </w:rPr>
        <w:t>Riigiabi:</w:t>
      </w:r>
    </w:p>
    <w:p w14:paraId="126DB7E4" w14:textId="428D9AB6" w:rsidR="0041652B" w:rsidRPr="0041652B" w:rsidRDefault="0041652B" w:rsidP="0041652B">
      <w:pPr>
        <w:pStyle w:val="Loendilik"/>
        <w:numPr>
          <w:ilvl w:val="0"/>
          <w:numId w:val="1"/>
        </w:numPr>
        <w:spacing w:after="0" w:line="240" w:lineRule="auto"/>
        <w:jc w:val="both"/>
        <w:rPr>
          <w:rFonts w:eastAsia="Times New Roman"/>
        </w:rPr>
      </w:pPr>
      <w:r>
        <w:rPr>
          <w:rFonts w:eastAsia="Times New Roman"/>
        </w:rPr>
        <w:t>K</w:t>
      </w:r>
      <w:r w:rsidRPr="0041652B">
        <w:rPr>
          <w:rFonts w:eastAsia="Times New Roman"/>
        </w:rPr>
        <w:t xml:space="preserve">äskkirja eelnõu punkti 1.7 kohaselt ei ole toetatava tegevuse eluviimisega seotud kulude hüvitamine riigiabi. Seletuskirjas on selgitus olemas, kuid põhjendused, miks ei ole tegemist riigiabiga, on esitatud läbisegi. Palume selguse huvides täpsustada seletuskirjas, milline riigiabi tingimus ei ole igal tasandil (toetuse saaja ja partnerid, teenuse osutajad, sihtrühm) täidetud. </w:t>
      </w:r>
    </w:p>
    <w:p w14:paraId="049A20F1" w14:textId="77777777" w:rsidR="0041652B" w:rsidRDefault="0041652B" w:rsidP="0041652B">
      <w:pPr>
        <w:pStyle w:val="Loendilik"/>
        <w:numPr>
          <w:ilvl w:val="0"/>
          <w:numId w:val="1"/>
        </w:numPr>
        <w:spacing w:after="0" w:line="240" w:lineRule="auto"/>
        <w:contextualSpacing w:val="0"/>
        <w:rPr>
          <w:rFonts w:eastAsia="Times New Roman"/>
        </w:rPr>
      </w:pPr>
      <w:r>
        <w:rPr>
          <w:rFonts w:eastAsia="Times New Roman"/>
        </w:rPr>
        <w:t>Seletuskirja lk 7  teine lõik, viide Euroopa Liidu toimimise lepingule – „</w:t>
      </w:r>
      <w:proofErr w:type="spellStart"/>
      <w:r>
        <w:rPr>
          <w:rFonts w:eastAsia="Times New Roman"/>
        </w:rPr>
        <w:t>ühisturuga</w:t>
      </w:r>
      <w:proofErr w:type="spellEnd"/>
      <w:r>
        <w:rPr>
          <w:rFonts w:eastAsia="Times New Roman"/>
        </w:rPr>
        <w:t xml:space="preserve"> kokkusobimatu“  asemel  peab olema  „siseturuga kokkusobimatu“.   </w:t>
      </w:r>
    </w:p>
    <w:p w14:paraId="7F4A6AE5" w14:textId="77777777" w:rsidR="0041652B" w:rsidRDefault="0041652B" w:rsidP="0041652B">
      <w:pPr>
        <w:spacing w:after="0" w:line="240" w:lineRule="auto"/>
        <w:rPr>
          <w:rFonts w:eastAsia="Times New Roman"/>
        </w:rPr>
      </w:pPr>
    </w:p>
    <w:p w14:paraId="1F70E2F7" w14:textId="4A9C146E" w:rsidR="0041652B" w:rsidRDefault="0041652B" w:rsidP="0041652B">
      <w:pPr>
        <w:jc w:val="both"/>
      </w:pPr>
      <w:r>
        <w:t>Lisame selgituseks</w:t>
      </w:r>
      <w:r>
        <w:t xml:space="preserve"> seletuskirja osa (lk 6-7), mis </w:t>
      </w:r>
      <w:r>
        <w:t xml:space="preserve">räägib </w:t>
      </w:r>
      <w:r>
        <w:t>riigiabist. Eelnõu punktis 4 nimetatud alategevused on elluviija ja partnerite tegevused. Kirjas on, et nende kulude hüvitamine ei ole riigiabi, kuid puudub põhjendus, milline riigiabi tingimus ei ole nende tegevuste puhul täidetud.       </w:t>
      </w:r>
    </w:p>
    <w:p w14:paraId="01B590D6" w14:textId="60C8AA35" w:rsidR="0041652B" w:rsidRDefault="0041652B" w:rsidP="0041652B">
      <w:pPr>
        <w:jc w:val="both"/>
        <w:rPr>
          <w:i/>
          <w:iCs/>
        </w:rPr>
      </w:pPr>
      <w:r>
        <w:rPr>
          <w:b/>
          <w:bCs/>
          <w:i/>
          <w:iCs/>
        </w:rPr>
        <w:t>Punkt 1.7</w:t>
      </w:r>
      <w:r>
        <w:rPr>
          <w:i/>
          <w:iCs/>
        </w:rPr>
        <w:t xml:space="preserve"> sätestab, et eelnõu raames antav toetus ei ole riigiabi. </w:t>
      </w:r>
      <w:r>
        <w:rPr>
          <w:i/>
          <w:iCs/>
          <w:u w:val="single"/>
        </w:rPr>
        <w:t>Eelnõu punktis 4</w:t>
      </w:r>
      <w:r>
        <w:rPr>
          <w:i/>
          <w:iCs/>
        </w:rPr>
        <w:t xml:space="preserve"> nimetatud alategevuste elluviimisega seotud kulude hüvitamine ei ole riigiabi Euroopa Liidu toimimise lepingu artikli 107 lõike 1, konkurentsiseaduse § 30 lõike 1 mõistes või vähese tähtsusega abi konkurentsiseaduse § 33 lõike 1 tähenduses. Konkurentsiseaduse § 30 lõige 1 sätestab, et riigiabiks loetakse Euroopa Liidu toimimise lepingu artikli 107 lõikes 1 sätestatud abi. Riigiabi definitsiooni Euroopa Liidu toimimise lepingus ei ole, kuid artikli 107 lõike 1 järgi on riigiabi igasugune liikmesriigi või riigi ressurssidest ükskõik missugusel kujul antav abi, mis kahjustab või ähvardab kahjustada konkurentsi, soodustades teatud ettevõtjaid või teatud kaupade tootmist, ning mis on </w:t>
      </w:r>
      <w:proofErr w:type="spellStart"/>
      <w:r>
        <w:rPr>
          <w:i/>
          <w:iCs/>
          <w:highlight w:val="yellow"/>
        </w:rPr>
        <w:t>ühisturuga</w:t>
      </w:r>
      <w:proofErr w:type="spellEnd"/>
      <w:r>
        <w:rPr>
          <w:i/>
          <w:iCs/>
        </w:rPr>
        <w:t xml:space="preserve"> kokkusobimatu niivõrd, kuivõrd see kahjustab </w:t>
      </w:r>
      <w:proofErr w:type="spellStart"/>
      <w:r>
        <w:rPr>
          <w:i/>
          <w:iCs/>
        </w:rPr>
        <w:t>liikmesriikidevahelist</w:t>
      </w:r>
      <w:proofErr w:type="spellEnd"/>
      <w:r>
        <w:rPr>
          <w:i/>
          <w:iCs/>
        </w:rPr>
        <w:t xml:space="preserve"> kaubandust. </w:t>
      </w:r>
    </w:p>
    <w:p w14:paraId="2D820B41" w14:textId="77777777" w:rsidR="0041652B" w:rsidRDefault="0041652B" w:rsidP="0041652B">
      <w:pPr>
        <w:jc w:val="both"/>
        <w:rPr>
          <w:i/>
          <w:iCs/>
        </w:rPr>
      </w:pPr>
      <w:r>
        <w:rPr>
          <w:i/>
          <w:iCs/>
        </w:rPr>
        <w:t xml:space="preserve">Riigiabi ei anta ka teisel tasandil. Toetatava tegevuse sihtrühm on füüsilised isikud ja sihtrühmale teenuse pakkujad leitakse riigihangete seaduses sätestatud korras läbipaistvalt, kontrollitavalt, proportsionaalselt ja mittediskrimineerival moel ning välditakse konkurentsi kahjustavat huvide konflikti. Toetuse abil pakutavad teenused on täielikult kohaliku iseloomuga, tasuta kättesaadavad ja mõeldud ainult konkreetsele sihtrühmale. Teenused täidavad sotsiaalset eesmärki, mis ei ole oma olemuselt majanduslik. Seetõttu puudub mõju konkurentsile ja kaubandusele ning toetatavad tegevused ei mõjuta </w:t>
      </w:r>
      <w:proofErr w:type="spellStart"/>
      <w:r>
        <w:rPr>
          <w:i/>
          <w:iCs/>
        </w:rPr>
        <w:t>liikmesriikidevahelist</w:t>
      </w:r>
      <w:proofErr w:type="spellEnd"/>
      <w:r>
        <w:rPr>
          <w:i/>
          <w:iCs/>
        </w:rPr>
        <w:t xml:space="preserve"> kaubandust.</w:t>
      </w:r>
    </w:p>
    <w:p w14:paraId="20B0D4A2" w14:textId="24800103" w:rsidR="0041652B" w:rsidRPr="0041652B" w:rsidRDefault="0041652B" w:rsidP="0041652B">
      <w:pPr>
        <w:spacing w:after="0" w:line="240" w:lineRule="auto"/>
        <w:jc w:val="both"/>
        <w:rPr>
          <w:rFonts w:eastAsia="Times New Roman"/>
        </w:rPr>
      </w:pPr>
      <w:r w:rsidRPr="0041652B">
        <w:rPr>
          <w:rFonts w:eastAsia="Times New Roman"/>
        </w:rPr>
        <w:t>      </w:t>
      </w:r>
    </w:p>
    <w:p w14:paraId="67923556" w14:textId="04113DE4" w:rsidR="0041652B" w:rsidRPr="0041652B" w:rsidRDefault="0041652B" w:rsidP="0041652B">
      <w:pPr>
        <w:rPr>
          <w:b/>
          <w:bCs/>
        </w:rPr>
      </w:pPr>
      <w:r w:rsidRPr="0041652B">
        <w:rPr>
          <w:b/>
          <w:bCs/>
        </w:rPr>
        <w:t>Riigihanked:</w:t>
      </w:r>
    </w:p>
    <w:p w14:paraId="0C1546DE" w14:textId="5ACDB2E0" w:rsidR="0041652B" w:rsidRDefault="0041652B" w:rsidP="0041652B">
      <w:pPr>
        <w:pStyle w:val="Loendilik"/>
        <w:numPr>
          <w:ilvl w:val="0"/>
          <w:numId w:val="1"/>
        </w:numPr>
        <w:jc w:val="both"/>
      </w:pPr>
      <w:r>
        <w:t xml:space="preserve">Eelnõu punktis 1.10  kirjutatakse, et käskkirjas nimetatakse Vabariigi Valitsuse 12. mai 2022. a määrust nr 55 „Perioodi 2021–2027 Euroopa Liidu ühtekuuluvus- ja </w:t>
      </w:r>
      <w:proofErr w:type="spellStart"/>
      <w:r>
        <w:t>siseturvalisuspoliitika</w:t>
      </w:r>
      <w:proofErr w:type="spellEnd"/>
      <w:r>
        <w:t xml:space="preserve"> fondide rakenduskavade vahendite andmise ja kasutamise üldised tingimused“ edaspidi </w:t>
      </w:r>
      <w:proofErr w:type="spellStart"/>
      <w:r>
        <w:t>ÜM-ks</w:t>
      </w:r>
      <w:proofErr w:type="spellEnd"/>
      <w:r>
        <w:t>.</w:t>
      </w:r>
      <w:r>
        <w:t xml:space="preserve"> </w:t>
      </w:r>
      <w:r>
        <w:t xml:space="preserve">Käskkirja punkt 11 aga kasutatakse „ÜM“-i asemel sõna „ühendmäärus“. </w:t>
      </w:r>
      <w:r w:rsidR="00196B5D">
        <w:t>Palume ühtlustada õigusakti lühendatud nimetuse kasutamist</w:t>
      </w:r>
      <w:r w:rsidR="00196B5D">
        <w:t xml:space="preserve"> teksti loetavuse ja mõistmise huvides. </w:t>
      </w:r>
    </w:p>
    <w:p w14:paraId="5654156B" w14:textId="77777777" w:rsidR="00196B5D" w:rsidRDefault="00196B5D" w:rsidP="00196B5D">
      <w:pPr>
        <w:pStyle w:val="Loendilik"/>
        <w:jc w:val="both"/>
      </w:pPr>
    </w:p>
    <w:p w14:paraId="72B7E13C" w14:textId="274C6694" w:rsidR="0041652B" w:rsidRDefault="0041652B" w:rsidP="0041652B">
      <w:pPr>
        <w:pStyle w:val="Loendilik"/>
      </w:pPr>
    </w:p>
    <w:p w14:paraId="30A1DA79" w14:textId="77777777" w:rsidR="0041652B" w:rsidRDefault="0041652B" w:rsidP="0041652B">
      <w:pPr>
        <w:ind w:left="360"/>
      </w:pPr>
    </w:p>
    <w:p w14:paraId="0057EE2A" w14:textId="1348BBAD" w:rsidR="0041652B" w:rsidRPr="0041652B" w:rsidRDefault="0041652B" w:rsidP="0041652B">
      <w:pPr>
        <w:pStyle w:val="Loendilik"/>
      </w:pPr>
    </w:p>
    <w:sectPr w:rsidR="0041652B" w:rsidRPr="00416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E86"/>
    <w:multiLevelType w:val="hybridMultilevel"/>
    <w:tmpl w:val="619897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72512BC"/>
    <w:multiLevelType w:val="hybridMultilevel"/>
    <w:tmpl w:val="9B72DEB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805393080">
    <w:abstractNumId w:val="0"/>
  </w:num>
  <w:num w:numId="2" w16cid:durableId="2086023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2B"/>
    <w:rsid w:val="00196B5D"/>
    <w:rsid w:val="0041652B"/>
    <w:rsid w:val="00E255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ACDF"/>
  <w15:chartTrackingRefBased/>
  <w15:docId w15:val="{8E333B08-6E18-40C0-B657-328FD205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1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129">
      <w:bodyDiv w:val="1"/>
      <w:marLeft w:val="0"/>
      <w:marRight w:val="0"/>
      <w:marTop w:val="0"/>
      <w:marBottom w:val="0"/>
      <w:divBdr>
        <w:top w:val="none" w:sz="0" w:space="0" w:color="auto"/>
        <w:left w:val="none" w:sz="0" w:space="0" w:color="auto"/>
        <w:bottom w:val="none" w:sz="0" w:space="0" w:color="auto"/>
        <w:right w:val="none" w:sz="0" w:space="0" w:color="auto"/>
      </w:divBdr>
    </w:div>
    <w:div w:id="837236059">
      <w:bodyDiv w:val="1"/>
      <w:marLeft w:val="0"/>
      <w:marRight w:val="0"/>
      <w:marTop w:val="0"/>
      <w:marBottom w:val="0"/>
      <w:divBdr>
        <w:top w:val="none" w:sz="0" w:space="0" w:color="auto"/>
        <w:left w:val="none" w:sz="0" w:space="0" w:color="auto"/>
        <w:bottom w:val="none" w:sz="0" w:space="0" w:color="auto"/>
        <w:right w:val="none" w:sz="0" w:space="0" w:color="auto"/>
      </w:divBdr>
    </w:div>
    <w:div w:id="1463157830">
      <w:bodyDiv w:val="1"/>
      <w:marLeft w:val="0"/>
      <w:marRight w:val="0"/>
      <w:marTop w:val="0"/>
      <w:marBottom w:val="0"/>
      <w:divBdr>
        <w:top w:val="none" w:sz="0" w:space="0" w:color="auto"/>
        <w:left w:val="none" w:sz="0" w:space="0" w:color="auto"/>
        <w:bottom w:val="none" w:sz="0" w:space="0" w:color="auto"/>
        <w:right w:val="none" w:sz="0" w:space="0" w:color="auto"/>
      </w:divBdr>
    </w:div>
    <w:div w:id="1758018716">
      <w:bodyDiv w:val="1"/>
      <w:marLeft w:val="0"/>
      <w:marRight w:val="0"/>
      <w:marTop w:val="0"/>
      <w:marBottom w:val="0"/>
      <w:divBdr>
        <w:top w:val="none" w:sz="0" w:space="0" w:color="auto"/>
        <w:left w:val="none" w:sz="0" w:space="0" w:color="auto"/>
        <w:bottom w:val="none" w:sz="0" w:space="0" w:color="auto"/>
        <w:right w:val="none" w:sz="0" w:space="0" w:color="auto"/>
      </w:divBdr>
    </w:div>
    <w:div w:id="17614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2569</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Tähe</dc:creator>
  <cp:keywords/>
  <dc:description/>
  <cp:lastModifiedBy>Kaisa Tähe</cp:lastModifiedBy>
  <cp:revision>1</cp:revision>
  <dcterms:created xsi:type="dcterms:W3CDTF">2024-11-29T14:44:00Z</dcterms:created>
  <dcterms:modified xsi:type="dcterms:W3CDTF">2024-11-29T14:56:00Z</dcterms:modified>
</cp:coreProperties>
</file>